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8C8" w:rsidRDefault="00DC08C8" w:rsidP="003061FD">
      <w:pPr>
        <w:jc w:val="both"/>
        <w:rPr>
          <w:sz w:val="24"/>
          <w:szCs w:val="24"/>
        </w:rPr>
      </w:pPr>
      <w:bookmarkStart w:id="0" w:name="_GoBack"/>
      <w:bookmarkEnd w:id="0"/>
      <w:r w:rsidRPr="00DC08C8">
        <w:rPr>
          <w:sz w:val="24"/>
          <w:szCs w:val="24"/>
        </w:rPr>
        <w:t>Na temelju članka 3., članka 4. i članka 6.  Zakona o plaćama u lokalnoj i područnoj ( regionalnoj ) samoupravi  (NN 28/10) te članka 90. Zakona o lokalnoj i područnoj (regionalnoj)</w:t>
      </w:r>
      <w:r w:rsidR="003061FD">
        <w:rPr>
          <w:sz w:val="24"/>
          <w:szCs w:val="24"/>
        </w:rPr>
        <w:t>samoupravi</w:t>
      </w:r>
      <w:r>
        <w:rPr>
          <w:sz w:val="24"/>
          <w:szCs w:val="24"/>
        </w:rPr>
        <w:t>(</w:t>
      </w:r>
      <w:r w:rsidRPr="00DC08C8">
        <w:rPr>
          <w:sz w:val="24"/>
          <w:szCs w:val="24"/>
        </w:rPr>
        <w:t>NN </w:t>
      </w:r>
      <w:hyperlink r:id="rId7" w:history="1">
        <w:r w:rsidRPr="00DC08C8">
          <w:rPr>
            <w:sz w:val="24"/>
            <w:szCs w:val="24"/>
          </w:rPr>
          <w:t>33/01</w:t>
        </w:r>
      </w:hyperlink>
      <w:r w:rsidRPr="00DC08C8">
        <w:rPr>
          <w:sz w:val="24"/>
          <w:szCs w:val="24"/>
        </w:rPr>
        <w:t>, </w:t>
      </w:r>
      <w:hyperlink r:id="rId8" w:history="1">
        <w:r w:rsidRPr="00DC08C8">
          <w:rPr>
            <w:sz w:val="24"/>
            <w:szCs w:val="24"/>
          </w:rPr>
          <w:t>60/01</w:t>
        </w:r>
      </w:hyperlink>
      <w:r w:rsidRPr="00DC08C8">
        <w:rPr>
          <w:sz w:val="24"/>
          <w:szCs w:val="24"/>
        </w:rPr>
        <w:t>, </w:t>
      </w:r>
      <w:hyperlink r:id="rId9" w:history="1">
        <w:r w:rsidRPr="00DC08C8">
          <w:rPr>
            <w:sz w:val="24"/>
            <w:szCs w:val="24"/>
          </w:rPr>
          <w:t>129/05</w:t>
        </w:r>
      </w:hyperlink>
      <w:r w:rsidRPr="00DC08C8">
        <w:rPr>
          <w:sz w:val="24"/>
          <w:szCs w:val="24"/>
        </w:rPr>
        <w:t>, </w:t>
      </w:r>
      <w:hyperlink r:id="rId10" w:history="1">
        <w:r w:rsidRPr="00DC08C8">
          <w:rPr>
            <w:sz w:val="24"/>
            <w:szCs w:val="24"/>
          </w:rPr>
          <w:t>109/07</w:t>
        </w:r>
      </w:hyperlink>
      <w:r w:rsidRPr="00DC08C8">
        <w:rPr>
          <w:sz w:val="24"/>
          <w:szCs w:val="24"/>
        </w:rPr>
        <w:t>, </w:t>
      </w:r>
      <w:hyperlink r:id="rId11" w:history="1">
        <w:r w:rsidRPr="00DC08C8">
          <w:rPr>
            <w:sz w:val="24"/>
            <w:szCs w:val="24"/>
          </w:rPr>
          <w:t>125/08</w:t>
        </w:r>
      </w:hyperlink>
      <w:r w:rsidRPr="00DC08C8">
        <w:rPr>
          <w:sz w:val="24"/>
          <w:szCs w:val="24"/>
        </w:rPr>
        <w:t>, </w:t>
      </w:r>
      <w:hyperlink r:id="rId12" w:history="1">
        <w:r w:rsidRPr="00DC08C8">
          <w:rPr>
            <w:sz w:val="24"/>
            <w:szCs w:val="24"/>
          </w:rPr>
          <w:t>36/09</w:t>
        </w:r>
      </w:hyperlink>
      <w:r w:rsidRPr="00DC08C8">
        <w:rPr>
          <w:sz w:val="24"/>
          <w:szCs w:val="24"/>
        </w:rPr>
        <w:t>, </w:t>
      </w:r>
      <w:hyperlink r:id="rId13" w:history="1">
        <w:r w:rsidRPr="00DC08C8">
          <w:rPr>
            <w:sz w:val="24"/>
            <w:szCs w:val="24"/>
          </w:rPr>
          <w:t>36/09</w:t>
        </w:r>
      </w:hyperlink>
      <w:r w:rsidRPr="00DC08C8">
        <w:rPr>
          <w:sz w:val="24"/>
          <w:szCs w:val="24"/>
        </w:rPr>
        <w:t>, </w:t>
      </w:r>
      <w:hyperlink r:id="rId14" w:history="1">
        <w:r w:rsidRPr="00DC08C8">
          <w:rPr>
            <w:sz w:val="24"/>
            <w:szCs w:val="24"/>
          </w:rPr>
          <w:t>150/11</w:t>
        </w:r>
      </w:hyperlink>
      <w:r w:rsidRPr="00DC08C8">
        <w:rPr>
          <w:sz w:val="24"/>
          <w:szCs w:val="24"/>
        </w:rPr>
        <w:t>, </w:t>
      </w:r>
      <w:hyperlink r:id="rId15" w:history="1">
        <w:r w:rsidRPr="00DC08C8">
          <w:rPr>
            <w:sz w:val="24"/>
            <w:szCs w:val="24"/>
          </w:rPr>
          <w:t>144/12</w:t>
        </w:r>
      </w:hyperlink>
      <w:r w:rsidRPr="00DC08C8">
        <w:rPr>
          <w:sz w:val="24"/>
          <w:szCs w:val="24"/>
        </w:rPr>
        <w:t>, </w:t>
      </w:r>
      <w:hyperlink r:id="rId16" w:history="1">
        <w:r w:rsidRPr="00DC08C8">
          <w:rPr>
            <w:sz w:val="24"/>
            <w:szCs w:val="24"/>
          </w:rPr>
          <w:t>19/13</w:t>
        </w:r>
      </w:hyperlink>
      <w:r w:rsidRPr="00DC08C8">
        <w:rPr>
          <w:sz w:val="24"/>
          <w:szCs w:val="24"/>
        </w:rPr>
        <w:t>, </w:t>
      </w:r>
      <w:hyperlink r:id="rId17" w:history="1">
        <w:r w:rsidRPr="00DC08C8">
          <w:rPr>
            <w:sz w:val="24"/>
            <w:szCs w:val="24"/>
          </w:rPr>
          <w:t>137/15</w:t>
        </w:r>
      </w:hyperlink>
      <w:r w:rsidRPr="00DC08C8">
        <w:rPr>
          <w:sz w:val="24"/>
          <w:szCs w:val="24"/>
        </w:rPr>
        <w:t>, </w:t>
      </w:r>
      <w:hyperlink r:id="rId18" w:tgtFrame="_blank" w:history="1">
        <w:r w:rsidRPr="00DC08C8">
          <w:rPr>
            <w:sz w:val="24"/>
            <w:szCs w:val="24"/>
          </w:rPr>
          <w:t>123/17</w:t>
        </w:r>
      </w:hyperlink>
      <w:r w:rsidRPr="00DC08C8">
        <w:rPr>
          <w:sz w:val="24"/>
          <w:szCs w:val="24"/>
        </w:rPr>
        <w:t>, </w:t>
      </w:r>
      <w:r w:rsidR="003061FD">
        <w:rPr>
          <w:sz w:val="24"/>
          <w:szCs w:val="24"/>
        </w:rPr>
        <w:t>98/19 )</w:t>
      </w:r>
      <w:r w:rsidRPr="00DC08C8">
        <w:rPr>
          <w:sz w:val="24"/>
          <w:szCs w:val="24"/>
        </w:rPr>
        <w:t xml:space="preserve"> Gradsko vijeće Grada Imotskog na XXV. sjednici održanoj ________</w:t>
      </w:r>
      <w:r w:rsidRPr="00DC08C8">
        <w:rPr>
          <w:sz w:val="24"/>
          <w:szCs w:val="24"/>
        </w:rPr>
        <w:tab/>
        <w:t xml:space="preserve"> 2020. godine donijelo je</w:t>
      </w:r>
    </w:p>
    <w:p w:rsidR="003061FD" w:rsidRDefault="003061FD" w:rsidP="003061FD">
      <w:pPr>
        <w:jc w:val="both"/>
        <w:rPr>
          <w:sz w:val="24"/>
          <w:szCs w:val="24"/>
        </w:rPr>
      </w:pPr>
    </w:p>
    <w:p w:rsidR="003061FD" w:rsidRPr="003061FD" w:rsidRDefault="003061FD" w:rsidP="003061FD">
      <w:pPr>
        <w:pStyle w:val="Bezproreda"/>
        <w:jc w:val="center"/>
        <w:rPr>
          <w:rFonts w:ascii="Times New Roman" w:hAnsi="Times New Roman" w:cs="Times New Roman"/>
          <w:b/>
          <w:sz w:val="24"/>
          <w:szCs w:val="24"/>
        </w:rPr>
      </w:pPr>
      <w:r w:rsidRPr="003061FD">
        <w:rPr>
          <w:rFonts w:ascii="Times New Roman" w:hAnsi="Times New Roman" w:cs="Times New Roman"/>
          <w:b/>
          <w:sz w:val="24"/>
          <w:szCs w:val="24"/>
        </w:rPr>
        <w:t>ODLUKU</w:t>
      </w:r>
    </w:p>
    <w:p w:rsidR="003061FD" w:rsidRPr="003061FD" w:rsidRDefault="003061FD" w:rsidP="003061FD">
      <w:pPr>
        <w:pStyle w:val="Bezproreda"/>
        <w:jc w:val="center"/>
        <w:rPr>
          <w:rFonts w:ascii="Times New Roman" w:hAnsi="Times New Roman" w:cs="Times New Roman"/>
          <w:b/>
          <w:sz w:val="24"/>
          <w:szCs w:val="24"/>
        </w:rPr>
      </w:pPr>
      <w:r w:rsidRPr="003061FD">
        <w:rPr>
          <w:rFonts w:ascii="Times New Roman" w:hAnsi="Times New Roman" w:cs="Times New Roman"/>
          <w:b/>
          <w:sz w:val="24"/>
          <w:szCs w:val="24"/>
        </w:rPr>
        <w:t>o</w:t>
      </w:r>
    </w:p>
    <w:p w:rsidR="003061FD" w:rsidRPr="003061FD" w:rsidRDefault="003061FD" w:rsidP="003061FD">
      <w:pPr>
        <w:pStyle w:val="Bezproreda"/>
        <w:jc w:val="center"/>
        <w:rPr>
          <w:rFonts w:ascii="Times New Roman" w:hAnsi="Times New Roman" w:cs="Times New Roman"/>
          <w:b/>
          <w:sz w:val="24"/>
          <w:szCs w:val="24"/>
        </w:rPr>
      </w:pPr>
      <w:r w:rsidRPr="003061FD">
        <w:rPr>
          <w:rFonts w:ascii="Times New Roman" w:hAnsi="Times New Roman" w:cs="Times New Roman"/>
          <w:b/>
          <w:sz w:val="24"/>
          <w:szCs w:val="24"/>
        </w:rPr>
        <w:t>visini naknade za rad gradonačelnika i zamjenika gradonačelnika koji dužnost obnašaju bez zasnivanja radnog odnosa</w:t>
      </w:r>
    </w:p>
    <w:p w:rsidR="006A034C" w:rsidRDefault="006A034C" w:rsidP="003061FD">
      <w:pPr>
        <w:jc w:val="both"/>
      </w:pPr>
    </w:p>
    <w:p w:rsidR="003061FD" w:rsidRPr="0083221B" w:rsidRDefault="00027C69" w:rsidP="0083221B">
      <w:pPr>
        <w:jc w:val="center"/>
        <w:rPr>
          <w:b/>
        </w:rPr>
      </w:pPr>
      <w:r w:rsidRPr="0083221B">
        <w:rPr>
          <w:b/>
        </w:rPr>
        <w:t>Članak I</w:t>
      </w:r>
      <w:r w:rsidR="003061FD" w:rsidRPr="0083221B">
        <w:rPr>
          <w:b/>
        </w:rPr>
        <w:t>.</w:t>
      </w:r>
    </w:p>
    <w:p w:rsidR="003061FD" w:rsidRDefault="003061FD" w:rsidP="003061FD">
      <w:pPr>
        <w:jc w:val="both"/>
      </w:pPr>
      <w:r>
        <w:t>Ovom Odlukom određuje se osnovica i koeficijent za obračun naknade za rad gradonačelnika koji svoju dužnost obnaša bez zasnivanja radnog odnosa, te osnovica i koeficijent za obračun n</w:t>
      </w:r>
      <w:r w:rsidR="00027C69">
        <w:t>aknade zamjenika gradonačelnika koji također, dužnost obnašaju bez zasnivanja radnog odnosa.</w:t>
      </w:r>
    </w:p>
    <w:p w:rsidR="00027C69" w:rsidRPr="0083221B" w:rsidRDefault="00027C69" w:rsidP="0083221B">
      <w:pPr>
        <w:jc w:val="center"/>
        <w:rPr>
          <w:b/>
        </w:rPr>
      </w:pPr>
      <w:r w:rsidRPr="0083221B">
        <w:rPr>
          <w:b/>
        </w:rPr>
        <w:t>Članak II.</w:t>
      </w:r>
    </w:p>
    <w:p w:rsidR="00B717DF" w:rsidRDefault="00B717DF" w:rsidP="003061FD">
      <w:pPr>
        <w:jc w:val="both"/>
      </w:pPr>
      <w:r>
        <w:t>Osnovicu i koefi</w:t>
      </w:r>
      <w:r w:rsidR="00123471">
        <w:t>cijente za obračun plaće</w:t>
      </w:r>
      <w:r>
        <w:t xml:space="preserve"> grad</w:t>
      </w:r>
      <w:r w:rsidR="00123471">
        <w:t>onačelnika i njeg</w:t>
      </w:r>
      <w:r>
        <w:t>ovih zamjenika određuje odlukom predstavničko tijelo jedinice lokalne i područne ( regionalne ) samouprave u kojoj obnaša</w:t>
      </w:r>
      <w:r w:rsidR="00123471">
        <w:t xml:space="preserve">ju dužnost, na prijedlog </w:t>
      </w:r>
      <w:r>
        <w:t xml:space="preserve"> gradonačelni</w:t>
      </w:r>
      <w:r w:rsidR="00123471">
        <w:t>ka.</w:t>
      </w:r>
    </w:p>
    <w:p w:rsidR="00B717DF" w:rsidRPr="0083221B" w:rsidRDefault="00B717DF" w:rsidP="0083221B">
      <w:pPr>
        <w:jc w:val="center"/>
        <w:rPr>
          <w:b/>
        </w:rPr>
      </w:pPr>
      <w:r w:rsidRPr="0083221B">
        <w:rPr>
          <w:b/>
        </w:rPr>
        <w:t>Članak III.</w:t>
      </w:r>
    </w:p>
    <w:p w:rsidR="00B717DF" w:rsidRDefault="00B717DF" w:rsidP="003061FD">
      <w:pPr>
        <w:jc w:val="both"/>
      </w:pPr>
      <w:r>
        <w:t>Plaća grad</w:t>
      </w:r>
      <w:r w:rsidR="00123471">
        <w:t>onačelnika</w:t>
      </w:r>
      <w:r>
        <w:t xml:space="preserve"> u jedinicama lokalne samouprave koje imaju više od 10.000 stanovnika, </w:t>
      </w:r>
      <w:r w:rsidR="0083221B">
        <w:t xml:space="preserve">ne smije se odrediti </w:t>
      </w:r>
      <w:r>
        <w:t>u iznosu većem od umnoška koeficijenta 5,27 i osnovice za izračun plaće državnih dužnosnika, prema propisima kojima se uređuju obveze i prava državnih dužnosnika.</w:t>
      </w:r>
    </w:p>
    <w:p w:rsidR="0083221B" w:rsidRPr="0083221B" w:rsidRDefault="0083221B" w:rsidP="0083221B">
      <w:pPr>
        <w:jc w:val="center"/>
        <w:rPr>
          <w:b/>
        </w:rPr>
      </w:pPr>
      <w:r w:rsidRPr="0083221B">
        <w:rPr>
          <w:b/>
        </w:rPr>
        <w:t>Članak IV.</w:t>
      </w:r>
    </w:p>
    <w:p w:rsidR="00027C69" w:rsidRDefault="00123471" w:rsidP="003061FD">
      <w:pPr>
        <w:jc w:val="both"/>
      </w:pPr>
      <w:r>
        <w:t xml:space="preserve">Naknade za rad </w:t>
      </w:r>
      <w:r w:rsidR="00B717DF">
        <w:t xml:space="preserve"> gradonačelnika </w:t>
      </w:r>
      <w:r>
        <w:t>i njihovih zamjenika</w:t>
      </w:r>
      <w:r w:rsidR="00B717DF">
        <w:t>, koji dužnost obnašaju bez zasnivanja radnog odnosa, mogu iznositi najviše do 50% umnoška koeficijenta za obračun plaće odgovarajućeg nositelja dužnosti koji dužnost obavlja profesionalno i osnovice za obračun plaće.</w:t>
      </w:r>
    </w:p>
    <w:p w:rsidR="0083221B" w:rsidRPr="002E0C22" w:rsidRDefault="0083221B" w:rsidP="002E0C22">
      <w:pPr>
        <w:jc w:val="center"/>
        <w:rPr>
          <w:b/>
        </w:rPr>
      </w:pPr>
      <w:r w:rsidRPr="002E0C22">
        <w:rPr>
          <w:b/>
        </w:rPr>
        <w:t>Članak V.</w:t>
      </w:r>
    </w:p>
    <w:p w:rsidR="0083221B" w:rsidRDefault="0083221B" w:rsidP="003061FD">
      <w:pPr>
        <w:jc w:val="both"/>
      </w:pPr>
      <w:r>
        <w:t>Za obračun mjesečne naknade za rad gradonačelnika koji dužnost obnaša bez zasnivanja radnog odnosa, određuje se koeficijent u izn</w:t>
      </w:r>
      <w:r w:rsidR="00123471">
        <w:t>osu od 2,60 te osnovica za izračun plaće državnih dužnosnika, temeljem Odluke Vlade Republike Hrvatske koja je na snazi.</w:t>
      </w:r>
    </w:p>
    <w:p w:rsidR="00123471" w:rsidRPr="002E0C22" w:rsidRDefault="00123471" w:rsidP="002E0C22">
      <w:pPr>
        <w:jc w:val="center"/>
        <w:rPr>
          <w:b/>
        </w:rPr>
      </w:pPr>
      <w:r w:rsidRPr="002E0C22">
        <w:rPr>
          <w:b/>
        </w:rPr>
        <w:t>Članak VI.</w:t>
      </w:r>
    </w:p>
    <w:p w:rsidR="00123471" w:rsidRDefault="00123471" w:rsidP="003061FD">
      <w:pPr>
        <w:jc w:val="both"/>
      </w:pPr>
      <w:r>
        <w:t>Za obračun mjesečne naknade za rad zamjenika gradonačelnika koji dužnost obnašaju bez zasnivanja radnog odnosa, određuje se koeficijent od 0,6, te osnovica za izračun plaće državnih dužnosnika, temeljem Odluke Vlade Republike Hrvatske koja j e na snazi.</w:t>
      </w:r>
    </w:p>
    <w:p w:rsidR="00123471" w:rsidRPr="002E0C22" w:rsidRDefault="00123471" w:rsidP="002E0C22">
      <w:pPr>
        <w:jc w:val="center"/>
        <w:rPr>
          <w:b/>
        </w:rPr>
      </w:pPr>
      <w:r w:rsidRPr="002E0C22">
        <w:rPr>
          <w:b/>
        </w:rPr>
        <w:lastRenderedPageBreak/>
        <w:t>Članak VII.</w:t>
      </w:r>
    </w:p>
    <w:p w:rsidR="00123471" w:rsidRDefault="005C0ECD" w:rsidP="003061FD">
      <w:pPr>
        <w:jc w:val="both"/>
      </w:pPr>
      <w:r>
        <w:t>Pojedinačna rješenja o visini naknade za rad gradonačelnika i zamjenika gradonačelnika, donosi pročelnik Jedinstvenog upravnog odjela Grada Imotskog.</w:t>
      </w:r>
    </w:p>
    <w:p w:rsidR="005C0ECD" w:rsidRPr="002E0C22" w:rsidRDefault="005C0ECD" w:rsidP="002E0C22">
      <w:pPr>
        <w:jc w:val="center"/>
        <w:rPr>
          <w:b/>
        </w:rPr>
      </w:pPr>
      <w:r w:rsidRPr="002E0C22">
        <w:rPr>
          <w:b/>
        </w:rPr>
        <w:t>Članak VIII.</w:t>
      </w:r>
    </w:p>
    <w:p w:rsidR="005C0ECD" w:rsidRDefault="005C0ECD" w:rsidP="003061FD">
      <w:pPr>
        <w:jc w:val="both"/>
      </w:pPr>
      <w:r>
        <w:t xml:space="preserve">Stupanjem na snagu ove Odluke prestaju važiti Odluka o naknadi za rad zamjenika gradonačelnika koji dužnost obnašaju bez zasnivanja radnog odnosa, od 22. kolovoza 2017. godine, Klasa: 021-05/17-01/06, </w:t>
      </w:r>
      <w:proofErr w:type="spellStart"/>
      <w:r>
        <w:t>Ur.broj</w:t>
      </w:r>
      <w:proofErr w:type="spellEnd"/>
      <w:r>
        <w:t xml:space="preserve">: 2129/01-01-17-1, te izmjena Odluke o naknadi za rad gradonačelnika koji dužnost obnaša bez zasnivanja radnog odnosa, od 01. veljače 2018. godine, Klasa: 022-05/18-01/04, </w:t>
      </w:r>
      <w:proofErr w:type="spellStart"/>
      <w:r>
        <w:t>Ur.broj</w:t>
      </w:r>
      <w:proofErr w:type="spellEnd"/>
      <w:r>
        <w:t>: 2129/01-02-18-01</w:t>
      </w:r>
      <w:r w:rsidR="002E0C22">
        <w:t>.</w:t>
      </w:r>
    </w:p>
    <w:p w:rsidR="002E0C22" w:rsidRPr="002E0C22" w:rsidRDefault="002E0C22" w:rsidP="002E0C22">
      <w:pPr>
        <w:jc w:val="center"/>
        <w:rPr>
          <w:b/>
        </w:rPr>
      </w:pPr>
      <w:r w:rsidRPr="002E0C22">
        <w:rPr>
          <w:b/>
        </w:rPr>
        <w:t>Članak IX.</w:t>
      </w:r>
    </w:p>
    <w:p w:rsidR="00453464" w:rsidRDefault="00453464" w:rsidP="00453464">
      <w:pPr>
        <w:spacing w:after="0"/>
        <w:jc w:val="both"/>
        <w:rPr>
          <w:rFonts w:ascii="Times New Roman" w:hAnsi="Times New Roman" w:cs="Times New Roman"/>
          <w:sz w:val="24"/>
          <w:szCs w:val="24"/>
        </w:rPr>
      </w:pPr>
      <w:r>
        <w:rPr>
          <w:rFonts w:ascii="Times New Roman" w:hAnsi="Times New Roman" w:cs="Times New Roman"/>
          <w:sz w:val="24"/>
          <w:szCs w:val="24"/>
        </w:rPr>
        <w:t>Ova Odluka stupa na snagu prvog dana od dana donošenja i objavit će se u Službenom glasniku Grada Imotskog.</w:t>
      </w:r>
    </w:p>
    <w:p w:rsidR="002E0C22" w:rsidRDefault="002E0C22" w:rsidP="003061FD">
      <w:pPr>
        <w:jc w:val="both"/>
      </w:pPr>
    </w:p>
    <w:p w:rsidR="002E0C22" w:rsidRDefault="002E0C22" w:rsidP="003061FD">
      <w:pPr>
        <w:jc w:val="both"/>
      </w:pPr>
    </w:p>
    <w:p w:rsidR="002E0C22" w:rsidRPr="00E81339" w:rsidRDefault="002E0C22" w:rsidP="002E0C22">
      <w:pPr>
        <w:spacing w:after="0"/>
        <w:rPr>
          <w:rFonts w:ascii="Times New Roman" w:hAnsi="Times New Roman" w:cs="Times New Roman"/>
          <w:sz w:val="24"/>
          <w:szCs w:val="24"/>
        </w:rPr>
      </w:pPr>
      <w:r w:rsidRPr="00E81339">
        <w:rPr>
          <w:rFonts w:ascii="Times New Roman" w:hAnsi="Times New Roman" w:cs="Times New Roman"/>
          <w:sz w:val="24"/>
          <w:szCs w:val="24"/>
        </w:rPr>
        <w:t>Klasa:</w:t>
      </w:r>
      <w:r w:rsidRPr="00E81339">
        <w:rPr>
          <w:rFonts w:ascii="Times New Roman" w:hAnsi="Times New Roman" w:cs="Times New Roman"/>
          <w:sz w:val="24"/>
          <w:szCs w:val="24"/>
        </w:rPr>
        <w:tab/>
      </w:r>
      <w:r w:rsidRPr="00E81339">
        <w:rPr>
          <w:rFonts w:ascii="Times New Roman" w:hAnsi="Times New Roman" w:cs="Times New Roman"/>
          <w:sz w:val="24"/>
          <w:szCs w:val="24"/>
        </w:rPr>
        <w:tab/>
      </w:r>
      <w:r w:rsidRPr="00E81339">
        <w:rPr>
          <w:rFonts w:ascii="Times New Roman" w:hAnsi="Times New Roman" w:cs="Times New Roman"/>
          <w:sz w:val="24"/>
          <w:szCs w:val="24"/>
        </w:rPr>
        <w:tab/>
      </w:r>
      <w:r w:rsidRPr="00E81339">
        <w:rPr>
          <w:rFonts w:ascii="Times New Roman" w:hAnsi="Times New Roman" w:cs="Times New Roman"/>
          <w:sz w:val="24"/>
          <w:szCs w:val="24"/>
        </w:rPr>
        <w:tab/>
      </w:r>
      <w:r w:rsidRPr="00E81339">
        <w:rPr>
          <w:rFonts w:ascii="Times New Roman" w:hAnsi="Times New Roman" w:cs="Times New Roman"/>
          <w:sz w:val="24"/>
          <w:szCs w:val="24"/>
        </w:rPr>
        <w:tab/>
      </w:r>
      <w:r w:rsidRPr="00E81339">
        <w:rPr>
          <w:rFonts w:ascii="Times New Roman" w:hAnsi="Times New Roman" w:cs="Times New Roman"/>
          <w:sz w:val="24"/>
          <w:szCs w:val="24"/>
        </w:rPr>
        <w:tab/>
      </w:r>
      <w:r w:rsidRPr="00E81339">
        <w:rPr>
          <w:rFonts w:ascii="Times New Roman" w:hAnsi="Times New Roman" w:cs="Times New Roman"/>
          <w:sz w:val="24"/>
          <w:szCs w:val="24"/>
        </w:rPr>
        <w:tab/>
        <w:t>Predsjednik Gradskog vijeća</w:t>
      </w:r>
    </w:p>
    <w:p w:rsidR="002E0C22" w:rsidRPr="00E81339" w:rsidRDefault="002E0C22" w:rsidP="002E0C22">
      <w:pPr>
        <w:spacing w:after="0"/>
        <w:jc w:val="both"/>
        <w:rPr>
          <w:rFonts w:ascii="Times New Roman" w:hAnsi="Times New Roman" w:cs="Times New Roman"/>
          <w:sz w:val="24"/>
          <w:szCs w:val="24"/>
        </w:rPr>
      </w:pPr>
      <w:proofErr w:type="spellStart"/>
      <w:r w:rsidRPr="00E81339">
        <w:rPr>
          <w:rFonts w:ascii="Times New Roman" w:hAnsi="Times New Roman" w:cs="Times New Roman"/>
          <w:sz w:val="24"/>
          <w:szCs w:val="24"/>
        </w:rPr>
        <w:t>Urbroj</w:t>
      </w:r>
      <w:proofErr w:type="spellEnd"/>
      <w:r w:rsidRPr="00E81339">
        <w:rPr>
          <w:rFonts w:ascii="Times New Roman" w:hAnsi="Times New Roman" w:cs="Times New Roman"/>
          <w:sz w:val="24"/>
          <w:szCs w:val="24"/>
        </w:rPr>
        <w:t>:</w:t>
      </w:r>
      <w:r w:rsidRPr="00E81339">
        <w:rPr>
          <w:rFonts w:ascii="Times New Roman" w:hAnsi="Times New Roman" w:cs="Times New Roman"/>
          <w:sz w:val="24"/>
          <w:szCs w:val="24"/>
        </w:rPr>
        <w:tab/>
      </w:r>
      <w:r w:rsidRPr="00E81339">
        <w:rPr>
          <w:rFonts w:ascii="Times New Roman" w:hAnsi="Times New Roman" w:cs="Times New Roman"/>
          <w:sz w:val="24"/>
          <w:szCs w:val="24"/>
        </w:rPr>
        <w:tab/>
      </w:r>
      <w:r w:rsidRPr="00E81339">
        <w:rPr>
          <w:rFonts w:ascii="Times New Roman" w:hAnsi="Times New Roman" w:cs="Times New Roman"/>
          <w:sz w:val="24"/>
          <w:szCs w:val="24"/>
        </w:rPr>
        <w:tab/>
      </w:r>
      <w:r w:rsidRPr="00E81339">
        <w:rPr>
          <w:rFonts w:ascii="Times New Roman" w:hAnsi="Times New Roman" w:cs="Times New Roman"/>
          <w:sz w:val="24"/>
          <w:szCs w:val="24"/>
        </w:rPr>
        <w:tab/>
      </w:r>
      <w:r w:rsidRPr="00E81339">
        <w:rPr>
          <w:rFonts w:ascii="Times New Roman" w:hAnsi="Times New Roman" w:cs="Times New Roman"/>
          <w:sz w:val="24"/>
          <w:szCs w:val="24"/>
        </w:rPr>
        <w:tab/>
      </w:r>
      <w:r w:rsidRPr="00E81339">
        <w:rPr>
          <w:rFonts w:ascii="Times New Roman" w:hAnsi="Times New Roman" w:cs="Times New Roman"/>
          <w:sz w:val="24"/>
          <w:szCs w:val="24"/>
        </w:rPr>
        <w:tab/>
      </w:r>
      <w:r w:rsidRPr="00E81339">
        <w:rPr>
          <w:rFonts w:ascii="Times New Roman" w:hAnsi="Times New Roman" w:cs="Times New Roman"/>
          <w:sz w:val="24"/>
          <w:szCs w:val="24"/>
        </w:rPr>
        <w:tab/>
        <w:t xml:space="preserve">    </w:t>
      </w:r>
      <w:proofErr w:type="spellStart"/>
      <w:r w:rsidRPr="00E81339">
        <w:rPr>
          <w:rFonts w:ascii="Times New Roman" w:hAnsi="Times New Roman" w:cs="Times New Roman"/>
          <w:sz w:val="24"/>
          <w:szCs w:val="24"/>
        </w:rPr>
        <w:t>dr.sc.Perica</w:t>
      </w:r>
      <w:proofErr w:type="spellEnd"/>
      <w:r w:rsidRPr="00E81339">
        <w:rPr>
          <w:rFonts w:ascii="Times New Roman" w:hAnsi="Times New Roman" w:cs="Times New Roman"/>
          <w:sz w:val="24"/>
          <w:szCs w:val="24"/>
        </w:rPr>
        <w:t xml:space="preserve"> Tucak, v.r.</w:t>
      </w:r>
    </w:p>
    <w:p w:rsidR="002E0C22" w:rsidRPr="00E81339" w:rsidRDefault="002E0C22" w:rsidP="002E0C22">
      <w:pPr>
        <w:spacing w:after="0"/>
        <w:jc w:val="both"/>
        <w:rPr>
          <w:rFonts w:ascii="Times New Roman" w:hAnsi="Times New Roman" w:cs="Times New Roman"/>
          <w:sz w:val="24"/>
          <w:szCs w:val="24"/>
        </w:rPr>
      </w:pPr>
      <w:r w:rsidRPr="00E81339">
        <w:rPr>
          <w:rFonts w:ascii="Times New Roman" w:hAnsi="Times New Roman" w:cs="Times New Roman"/>
          <w:sz w:val="24"/>
          <w:szCs w:val="24"/>
        </w:rPr>
        <w:t>Imotski,</w:t>
      </w:r>
    </w:p>
    <w:p w:rsidR="002E0C22" w:rsidRDefault="002E0C22" w:rsidP="003061FD">
      <w:pPr>
        <w:jc w:val="both"/>
      </w:pPr>
    </w:p>
    <w:sectPr w:rsidR="002E0C22" w:rsidSect="006A034C">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E7C" w:rsidRDefault="00706E7C" w:rsidP="00DC08C8">
      <w:pPr>
        <w:spacing w:after="0" w:line="240" w:lineRule="auto"/>
      </w:pPr>
      <w:r>
        <w:separator/>
      </w:r>
    </w:p>
  </w:endnote>
  <w:endnote w:type="continuationSeparator" w:id="0">
    <w:p w:rsidR="00706E7C" w:rsidRDefault="00706E7C" w:rsidP="00DC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E7C" w:rsidRDefault="00706E7C" w:rsidP="00DC08C8">
      <w:pPr>
        <w:spacing w:after="0" w:line="240" w:lineRule="auto"/>
      </w:pPr>
      <w:r>
        <w:separator/>
      </w:r>
    </w:p>
  </w:footnote>
  <w:footnote w:type="continuationSeparator" w:id="0">
    <w:p w:rsidR="00706E7C" w:rsidRDefault="00706E7C" w:rsidP="00DC0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8C8" w:rsidRDefault="00DC08C8" w:rsidP="00DC08C8">
    <w:pPr>
      <w:pStyle w:val="Zaglavlje"/>
      <w:jc w:val="right"/>
    </w:pPr>
    <w:r>
      <w:t>PRIJEDLOG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C8"/>
    <w:rsid w:val="00027C69"/>
    <w:rsid w:val="000F1EE8"/>
    <w:rsid w:val="00123471"/>
    <w:rsid w:val="002E0C22"/>
    <w:rsid w:val="003061FD"/>
    <w:rsid w:val="003425D8"/>
    <w:rsid w:val="00453464"/>
    <w:rsid w:val="005C0ECD"/>
    <w:rsid w:val="006A034C"/>
    <w:rsid w:val="006F1431"/>
    <w:rsid w:val="00706E7C"/>
    <w:rsid w:val="0073656D"/>
    <w:rsid w:val="0083221B"/>
    <w:rsid w:val="00B078B2"/>
    <w:rsid w:val="00B717DF"/>
    <w:rsid w:val="00CD6082"/>
    <w:rsid w:val="00DC08C8"/>
    <w:rsid w:val="00EE49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DC91D7-75F8-451E-915A-CB5C6B9B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C8"/>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DC08C8"/>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DC08C8"/>
    <w:rPr>
      <w:rFonts w:eastAsiaTheme="minorEastAsia"/>
      <w:lang w:eastAsia="hr-HR"/>
    </w:rPr>
  </w:style>
  <w:style w:type="paragraph" w:styleId="Podnoje">
    <w:name w:val="footer"/>
    <w:basedOn w:val="Normal"/>
    <w:link w:val="PodnojeChar"/>
    <w:uiPriority w:val="99"/>
    <w:semiHidden/>
    <w:unhideWhenUsed/>
    <w:rsid w:val="00DC08C8"/>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DC08C8"/>
    <w:rPr>
      <w:rFonts w:eastAsiaTheme="minorEastAsia"/>
      <w:lang w:eastAsia="hr-HR"/>
    </w:rPr>
  </w:style>
  <w:style w:type="character" w:styleId="Hiperveza">
    <w:name w:val="Hyperlink"/>
    <w:basedOn w:val="Zadanifontodlomka"/>
    <w:uiPriority w:val="99"/>
    <w:semiHidden/>
    <w:unhideWhenUsed/>
    <w:rsid w:val="00DC08C8"/>
    <w:rPr>
      <w:color w:val="0000FF"/>
      <w:u w:val="single"/>
    </w:rPr>
  </w:style>
  <w:style w:type="paragraph" w:styleId="Bezproreda">
    <w:name w:val="No Spacing"/>
    <w:uiPriority w:val="1"/>
    <w:qFormat/>
    <w:rsid w:val="003061FD"/>
    <w:pPr>
      <w:spacing w:after="0" w:line="240" w:lineRule="auto"/>
    </w:pPr>
    <w:rPr>
      <w:rFonts w:eastAsiaTheme="minorEastAsia"/>
      <w:lang w:eastAsia="hr-HR"/>
    </w:rPr>
  </w:style>
  <w:style w:type="paragraph" w:styleId="Tekstbalonia">
    <w:name w:val="Balloon Text"/>
    <w:basedOn w:val="Normal"/>
    <w:link w:val="TekstbaloniaChar"/>
    <w:uiPriority w:val="99"/>
    <w:semiHidden/>
    <w:unhideWhenUsed/>
    <w:rsid w:val="00CD608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D6082"/>
    <w:rPr>
      <w:rFonts w:ascii="Segoe UI" w:eastAsiaTheme="minorEastAsia"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13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261" TargetMode="External"/><Relationship Id="rId13" Type="http://schemas.openxmlformats.org/officeDocument/2006/relationships/hyperlink" Target="https://www.zakon.hr/cms.htm?id=266" TargetMode="External"/><Relationship Id="rId18" Type="http://schemas.openxmlformats.org/officeDocument/2006/relationships/hyperlink" Target="https://www.zakon.hr/cms.htm?id=2615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zakon.hr/cms.htm?id=260" TargetMode="External"/><Relationship Id="rId12" Type="http://schemas.openxmlformats.org/officeDocument/2006/relationships/hyperlink" Target="https://www.zakon.hr/cms.htm?id=265" TargetMode="External"/><Relationship Id="rId17" Type="http://schemas.openxmlformats.org/officeDocument/2006/relationships/hyperlink" Target="https://www.zakon.hr/cms.htm?id=15727" TargetMode="External"/><Relationship Id="rId2" Type="http://schemas.openxmlformats.org/officeDocument/2006/relationships/styles" Target="styles.xml"/><Relationship Id="rId16" Type="http://schemas.openxmlformats.org/officeDocument/2006/relationships/hyperlink" Target="https://www.zakon.hr/cms.htm?id=28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zakon.hr/cms.htm?id=264" TargetMode="External"/><Relationship Id="rId5" Type="http://schemas.openxmlformats.org/officeDocument/2006/relationships/footnotes" Target="footnotes.xml"/><Relationship Id="rId15" Type="http://schemas.openxmlformats.org/officeDocument/2006/relationships/hyperlink" Target="https://www.zakon.hr/cms.htm?id=268" TargetMode="External"/><Relationship Id="rId10" Type="http://schemas.openxmlformats.org/officeDocument/2006/relationships/hyperlink" Target="https://www.zakon.hr/cms.htm?id=26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zakon.hr/cms.htm?id=262" TargetMode="External"/><Relationship Id="rId14" Type="http://schemas.openxmlformats.org/officeDocument/2006/relationships/hyperlink" Target="https://www.zakon.hr/cms.htm?id=26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3573A-274F-4369-90F2-C7EAA3A4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3031</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GRAD</dc:creator>
  <cp:lastModifiedBy>Perica Tucak</cp:lastModifiedBy>
  <cp:revision>2</cp:revision>
  <cp:lastPrinted>2020-05-26T12:16:00Z</cp:lastPrinted>
  <dcterms:created xsi:type="dcterms:W3CDTF">2020-05-27T10:06:00Z</dcterms:created>
  <dcterms:modified xsi:type="dcterms:W3CDTF">2020-05-27T10:06:00Z</dcterms:modified>
</cp:coreProperties>
</file>